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webp" ContentType="image/png"/>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spacing/>
        <w:jc w:val="center"/>
      </w:pPr>
      <w:r>
        <w:rPr>
          <w:noProof/>
        </w:rPr>
        <w:drawing>
          <wp:inline distT="0" distB="0" distL="0" distR="0">
            <wp:extent cx="3249295" cy="929005"/>
            <wp:effectExtent l="0" t="0" r="0" b="0"/>
            <wp:docPr id="1" name="Picture1"/>
            <wp:cNvGraphicFramePr/>
            <a:graphic xmlns:a="http://schemas.openxmlformats.org/drawingml/2006/main">
              <a:graphicData uri="http://schemas.openxmlformats.org/drawingml/2006/picture">
                <pic:pic xmlns:pic="http://schemas.openxmlformats.org/drawingml/2006/picture">
                  <pic:nvPicPr>
                    <pic:cNvPr id="1" name="Picture1"/>
                    <pic:cNvPicPr>
                      <a:extLst>
                        <a:ext uri="sm">
                          <sm:smNativeData xmlns:sm="sm" val="SMDATA_16_H6VzaRMAAAAlAAAAEQAAAA0AAAAAAAAAAAAAAAAAAAAAAAAAAAAAAAAAAAAAAAAAAAEAAABQAAAAAAAAAAAA4D8AAAAAAADgPwAAAAAAAOA/AAAAAAAA4D8AAAAAAADgPwAAAAAAAOA/AAAAAAAA4D8AAAAAAADgPwAAAAAAAOA/AAAAAAAA4D8CAAAAjAAAAAEAAAAAAAAA////AAAAAAAAAAAAAAAAAAAAAAAAAAAAAAAAAAAAAAAAAAAAeAAAAAEAAABAAAAAAAAAAAAAAAB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Q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IEAAAAAAAAAAAAAAgAAAAIAAAAAAAAAAAAAAAIAAACHAAAA/RMAALcFAAAAAAAAQg0AACcGAAAoAAAACAAAAAEAAAABAAAA"/>
                        </a:ext>
                      </a:extLst>
                    </pic:cNvPicPr>
                  </pic:nvPicPr>
                  <pic:blipFill>
                    <a:blip r:embed="rId8"/>
                    <a:stretch>
                      <a:fillRect/>
                    </a:stretch>
                  </pic:blipFill>
                  <pic:spPr>
                    <a:xfrm>
                      <a:off x="0" y="0"/>
                      <a:ext cx="3249295" cy="929005"/>
                    </a:xfrm>
                    <a:prstGeom prst="rect">
                      <a:avLst/>
                    </a:prstGeom>
                    <a:solidFill>
                      <a:srgbClr val="FFFFFF"/>
                    </a:solidFill>
                    <a:ln w="12700">
                      <a:noFill/>
                    </a:ln>
                  </pic:spPr>
                </pic:pic>
              </a:graphicData>
            </a:graphic>
          </wp:inline>
        </w:drawing>
      </w:r>
      <w:r/>
    </w:p>
    <w:p>
      <w:pPr>
        <w:spacing/>
        <w:jc w:val="center"/>
      </w:pPr>
      <w:r/>
    </w:p>
    <w:p>
      <w:pPr>
        <w:spacing/>
        <w:jc w:val="center"/>
        <w:rPr>
          <w:b/>
          <w:bCs/>
          <w:sz w:val="28"/>
          <w:szCs w:val="28"/>
        </w:rPr>
      </w:pPr>
      <w:r>
        <w:rPr>
          <w:b/>
          <w:bCs/>
          <w:sz w:val="28"/>
          <w:szCs w:val="28"/>
        </w:rPr>
        <w:t>Social Media Policy</w:t>
      </w:r>
    </w:p>
    <w:p>
      <w:pPr>
        <w:spacing/>
        <w:jc w:val="center"/>
        <w:rPr>
          <w:b/>
          <w:bCs/>
          <w:sz w:val="24"/>
          <w:szCs w:val="24"/>
        </w:rPr>
      </w:pPr>
      <w:r>
        <w:rPr>
          <w:b/>
          <w:bCs/>
          <w:sz w:val="24"/>
          <w:szCs w:val="24"/>
        </w:rPr>
      </w:r>
    </w:p>
    <w:p>
      <w:pPr>
        <w:numPr>
          <w:ilvl w:val="0"/>
          <w:numId w:val="1"/>
        </w:numPr>
        <w:ind w:left="360" w:hanging="360"/>
        <w:rPr>
          <w:b/>
          <w:bCs/>
          <w:sz w:val="24"/>
          <w:szCs w:val="24"/>
        </w:rPr>
      </w:pPr>
      <w:r>
        <w:rPr>
          <w:b/>
          <w:bCs/>
          <w:sz w:val="24"/>
          <w:szCs w:val="24"/>
        </w:rPr>
        <w:t>Purpose of this policy</w:t>
      </w:r>
    </w:p>
    <w:p>
      <w:pPr>
        <w:numPr>
          <w:ilvl w:val="0"/>
          <w:numId w:val="0"/>
        </w:numPr>
        <w:ind w:left="360" w:firstLine="0"/>
        <w:rPr>
          <w:sz w:val="24"/>
          <w:szCs w:val="24"/>
        </w:rPr>
      </w:pPr>
      <w:r>
        <w:rPr>
          <w:sz w:val="24"/>
          <w:szCs w:val="24"/>
        </w:rPr>
        <w:t>This policy sets out Oakley Community Association’s (OCA) expectations of trustees when using social media.</w:t>
      </w:r>
    </w:p>
    <w:p>
      <w:pPr>
        <w:numPr>
          <w:ilvl w:val="0"/>
          <w:numId w:val="0"/>
        </w:numPr>
        <w:ind w:left="360" w:firstLine="0"/>
        <w:rPr>
          <w:sz w:val="24"/>
          <w:szCs w:val="24"/>
        </w:rPr>
      </w:pPr>
      <w:r>
        <w:rPr>
          <w:sz w:val="24"/>
          <w:szCs w:val="24"/>
        </w:rPr>
      </w:r>
    </w:p>
    <w:p>
      <w:pPr>
        <w:numPr>
          <w:ilvl w:val="0"/>
          <w:numId w:val="1"/>
        </w:numPr>
        <w:ind w:left="360" w:hanging="360"/>
        <w:rPr>
          <w:b/>
          <w:bCs/>
          <w:sz w:val="24"/>
          <w:szCs w:val="24"/>
        </w:rPr>
      </w:pPr>
      <w:r>
        <w:rPr>
          <w:b/>
          <w:bCs/>
          <w:sz w:val="24"/>
          <w:szCs w:val="24"/>
        </w:rPr>
        <w:t>Scope of the policy</w:t>
      </w:r>
    </w:p>
    <w:p>
      <w:pPr>
        <w:numPr>
          <w:ilvl w:val="0"/>
          <w:numId w:val="0"/>
        </w:numPr>
        <w:ind w:left="360" w:firstLine="0"/>
        <w:rPr>
          <w:sz w:val="24"/>
          <w:szCs w:val="24"/>
        </w:rPr>
      </w:pPr>
      <w:r>
        <w:rPr>
          <w:sz w:val="24"/>
          <w:szCs w:val="24"/>
        </w:rPr>
        <w:t>This policy applies to all trustees.</w:t>
      </w:r>
    </w:p>
    <w:p>
      <w:pPr>
        <w:numPr>
          <w:ilvl w:val="0"/>
          <w:numId w:val="0"/>
        </w:numPr>
        <w:ind w:left="360" w:firstLine="0"/>
        <w:rPr>
          <w:sz w:val="24"/>
          <w:szCs w:val="24"/>
        </w:rPr>
      </w:pPr>
      <w:r>
        <w:rPr>
          <w:sz w:val="24"/>
          <w:szCs w:val="24"/>
        </w:rPr>
      </w:r>
    </w:p>
    <w:p>
      <w:pPr>
        <w:numPr>
          <w:ilvl w:val="0"/>
          <w:numId w:val="1"/>
        </w:numPr>
        <w:ind w:left="360" w:hanging="360"/>
        <w:rPr>
          <w:b/>
          <w:bCs/>
          <w:sz w:val="24"/>
          <w:szCs w:val="24"/>
        </w:rPr>
      </w:pPr>
      <w:r>
        <w:rPr>
          <w:b/>
          <w:bCs/>
          <w:sz w:val="24"/>
          <w:szCs w:val="24"/>
        </w:rPr>
        <w:t>Roles and responsibilities</w:t>
      </w:r>
    </w:p>
    <w:p>
      <w:pPr>
        <w:numPr>
          <w:ilvl w:val="0"/>
          <w:numId w:val="0"/>
        </w:numPr>
        <w:ind w:left="360" w:firstLine="0"/>
        <w:rPr>
          <w:sz w:val="24"/>
          <w:szCs w:val="24"/>
        </w:rPr>
      </w:pPr>
      <w:r>
        <w:rPr>
          <w:sz w:val="24"/>
          <w:szCs w:val="24"/>
        </w:rPr>
        <w:t>The Chair has overall responsibility for this policy</w:t>
      </w:r>
    </w:p>
    <w:p>
      <w:pPr>
        <w:numPr>
          <w:ilvl w:val="0"/>
          <w:numId w:val="0"/>
        </w:numPr>
        <w:ind w:left="360" w:firstLine="0"/>
        <w:rPr>
          <w:sz w:val="24"/>
          <w:szCs w:val="24"/>
        </w:rPr>
      </w:pPr>
      <w:r>
        <w:rPr>
          <w:sz w:val="24"/>
          <w:szCs w:val="24"/>
        </w:rPr>
        <w:t>Trustees are responsible for applying this policy consistently.</w:t>
      </w:r>
    </w:p>
    <w:p>
      <w:pPr>
        <w:numPr>
          <w:ilvl w:val="0"/>
          <w:numId w:val="0"/>
        </w:numPr>
        <w:ind w:left="360" w:firstLine="0"/>
        <w:rPr>
          <w:sz w:val="24"/>
          <w:szCs w:val="24"/>
        </w:rPr>
      </w:pPr>
      <w:r>
        <w:rPr>
          <w:sz w:val="24"/>
          <w:szCs w:val="24"/>
        </w:rPr>
        <w:t>The committee is responsible for reviewing this policy every four years or where there have been significant changes</w:t>
      </w:r>
    </w:p>
    <w:p>
      <w:pPr>
        <w:numPr>
          <w:ilvl w:val="0"/>
          <w:numId w:val="0"/>
        </w:numPr>
        <w:ind w:left="360" w:firstLine="0"/>
        <w:rPr>
          <w:sz w:val="24"/>
          <w:szCs w:val="24"/>
        </w:rPr>
      </w:pPr>
      <w:r>
        <w:rPr>
          <w:sz w:val="24"/>
          <w:szCs w:val="24"/>
        </w:rPr>
      </w:r>
    </w:p>
    <w:p>
      <w:pPr>
        <w:numPr>
          <w:ilvl w:val="0"/>
          <w:numId w:val="1"/>
        </w:numPr>
        <w:ind w:left="360" w:hanging="360"/>
        <w:rPr>
          <w:b/>
          <w:bCs/>
          <w:sz w:val="24"/>
          <w:szCs w:val="24"/>
        </w:rPr>
      </w:pPr>
      <w:r>
        <w:rPr>
          <w:b/>
          <w:bCs/>
          <w:sz w:val="24"/>
          <w:szCs w:val="24"/>
        </w:rPr>
        <w:t>Definition of social media</w:t>
      </w:r>
    </w:p>
    <w:p>
      <w:pPr>
        <w:numPr>
          <w:ilvl w:val="0"/>
          <w:numId w:val="0"/>
        </w:numPr>
        <w:ind w:left="360" w:firstLine="0"/>
        <w:rPr>
          <w:sz w:val="24"/>
          <w:szCs w:val="24"/>
        </w:rPr>
      </w:pPr>
      <w:r>
        <w:rPr>
          <w:sz w:val="24"/>
          <w:szCs w:val="24"/>
        </w:rPr>
        <w:t>Social media is defined as websites or applications the allow the sharing of ideas, thoughts and information through virtual networks and communities.  For example Facebook, including Facebook Messenger, Instagram, Twitter, TikTok, YouTube, WhatsApp, Linked In.  This list is not exhaustive.  In practice it is agreed that most used in the Oakley Community is currently    Facebook/Calling Oakley.</w:t>
      </w:r>
    </w:p>
    <w:p>
      <w:pPr>
        <w:numPr>
          <w:ilvl w:val="0"/>
          <w:numId w:val="0"/>
        </w:numPr>
        <w:ind w:left="360" w:firstLine="0"/>
        <w:rPr>
          <w:sz w:val="24"/>
          <w:szCs w:val="24"/>
        </w:rPr>
      </w:pPr>
      <w:r>
        <w:rPr>
          <w:sz w:val="24"/>
          <w:szCs w:val="24"/>
        </w:rPr>
      </w:r>
    </w:p>
    <w:p>
      <w:pPr>
        <w:numPr>
          <w:ilvl w:val="0"/>
          <w:numId w:val="1"/>
        </w:numPr>
        <w:ind w:left="360" w:hanging="360"/>
        <w:rPr>
          <w:b/>
          <w:bCs/>
          <w:sz w:val="24"/>
          <w:szCs w:val="24"/>
        </w:rPr>
      </w:pPr>
      <w:r>
        <w:rPr>
          <w:b/>
          <w:bCs/>
          <w:sz w:val="24"/>
          <w:szCs w:val="24"/>
        </w:rPr>
        <w:t>Use of social media</w:t>
      </w:r>
    </w:p>
    <w:p>
      <w:pPr>
        <w:numPr>
          <w:ilvl w:val="0"/>
          <w:numId w:val="0"/>
        </w:numPr>
        <w:ind w:left="360" w:firstLine="0"/>
        <w:rPr>
          <w:sz w:val="24"/>
          <w:szCs w:val="24"/>
        </w:rPr>
      </w:pPr>
      <w:r>
        <w:rPr>
          <w:sz w:val="24"/>
          <w:szCs w:val="24"/>
        </w:rPr>
        <w:t>All trustees are permitted to represent OCA on social media, although in practice the majority of social media is managed by Tiffany Wise.  When representing OCA on social media you must follow this policy.</w:t>
      </w:r>
    </w:p>
    <w:p>
      <w:pPr>
        <w:numPr>
          <w:ilvl w:val="0"/>
          <w:numId w:val="0"/>
        </w:numPr>
        <w:ind w:left="360" w:firstLine="0"/>
        <w:rPr>
          <w:sz w:val="24"/>
          <w:szCs w:val="24"/>
        </w:rPr>
      </w:pPr>
      <w:r>
        <w:rPr>
          <w:sz w:val="24"/>
          <w:szCs w:val="24"/>
        </w:rPr>
      </w:r>
    </w:p>
    <w:p>
      <w:pPr>
        <w:numPr>
          <w:ilvl w:val="0"/>
          <w:numId w:val="1"/>
        </w:numPr>
        <w:ind w:left="360" w:hanging="360"/>
        <w:rPr>
          <w:b/>
          <w:bCs/>
          <w:sz w:val="24"/>
          <w:szCs w:val="24"/>
        </w:rPr>
      </w:pPr>
      <w:r>
        <w:rPr>
          <w:b/>
          <w:bCs/>
          <w:sz w:val="24"/>
          <w:szCs w:val="24"/>
        </w:rPr>
        <w:t>Responsible use of social media</w:t>
      </w:r>
    </w:p>
    <w:p>
      <w:pPr>
        <w:numPr>
          <w:ilvl w:val="0"/>
          <w:numId w:val="0"/>
        </w:numPr>
        <w:ind w:left="360" w:firstLine="0"/>
        <w:rPr>
          <w:sz w:val="24"/>
          <w:szCs w:val="24"/>
        </w:rPr>
      </w:pPr>
      <w:r>
        <w:rPr>
          <w:sz w:val="24"/>
          <w:szCs w:val="24"/>
        </w:rPr>
        <w:t>When using social media you must:</w:t>
      </w:r>
    </w:p>
    <w:p>
      <w:pPr>
        <w:numPr>
          <w:ilvl w:val="0"/>
          <w:numId w:val="2"/>
        </w:numPr>
        <w:ind w:left="360" w:hanging="360"/>
        <w:rPr>
          <w:sz w:val="24"/>
          <w:szCs w:val="24"/>
        </w:rPr>
      </w:pPr>
      <w:r>
        <w:rPr>
          <w:sz w:val="24"/>
          <w:szCs w:val="24"/>
        </w:rPr>
        <w:t>Act professionally at all times</w:t>
      </w:r>
    </w:p>
    <w:p>
      <w:pPr>
        <w:numPr>
          <w:ilvl w:val="0"/>
          <w:numId w:val="2"/>
        </w:numPr>
        <w:ind w:left="360" w:hanging="360"/>
        <w:rPr>
          <w:sz w:val="24"/>
          <w:szCs w:val="24"/>
        </w:rPr>
      </w:pPr>
      <w:r>
        <w:rPr>
          <w:sz w:val="24"/>
          <w:szCs w:val="24"/>
        </w:rPr>
        <w:t>Signpost users complaining about OCA to our complaints policy</w:t>
      </w:r>
    </w:p>
    <w:p>
      <w:pPr>
        <w:numPr>
          <w:ilvl w:val="0"/>
          <w:numId w:val="2"/>
        </w:numPr>
        <w:ind w:left="360" w:hanging="360"/>
        <w:rPr>
          <w:sz w:val="24"/>
          <w:szCs w:val="24"/>
        </w:rPr>
      </w:pPr>
      <w:r>
        <w:rPr>
          <w:sz w:val="24"/>
          <w:szCs w:val="24"/>
        </w:rPr>
        <w:t xml:space="preserve">Use the OCA public email address of </w:t>
      </w:r>
      <w:hyperlink r:id="rId9" w:history="1">
        <w:r>
          <w:rPr>
            <w:rStyle w:val="char1"/>
            <w:sz w:val="24"/>
            <w:szCs w:val="24"/>
          </w:rPr>
          <w:t>hello@ocaoakley.org.uk</w:t>
        </w:r>
      </w:hyperlink>
    </w:p>
    <w:p>
      <w:pPr>
        <w:numPr>
          <w:ilvl w:val="0"/>
          <w:numId w:val="2"/>
        </w:numPr>
        <w:ind w:left="360" w:hanging="360"/>
        <w:rPr>
          <w:sz w:val="24"/>
          <w:szCs w:val="24"/>
        </w:rPr>
      </w:pPr>
      <w:r>
        <w:rPr>
          <w:sz w:val="24"/>
          <w:szCs w:val="24"/>
        </w:rPr>
        <w:t>Ensure all trustees receive copies of complaints and responses</w:t>
      </w:r>
    </w:p>
    <w:p>
      <w:pPr>
        <w:numPr>
          <w:ilvl w:val="0"/>
          <w:numId w:val="2"/>
        </w:numPr>
        <w:ind w:left="360" w:hanging="360"/>
        <w:rPr>
          <w:sz w:val="24"/>
          <w:szCs w:val="24"/>
        </w:rPr>
      </w:pPr>
      <w:r>
        <w:rPr>
          <w:sz w:val="24"/>
          <w:szCs w:val="24"/>
        </w:rPr>
        <w:t>Not harass, bully, victimise or discriminate against any person</w:t>
      </w:r>
    </w:p>
    <w:p>
      <w:pPr>
        <w:numPr>
          <w:ilvl w:val="0"/>
          <w:numId w:val="2"/>
        </w:numPr>
        <w:ind w:left="360" w:hanging="360"/>
        <w:rPr>
          <w:sz w:val="24"/>
          <w:szCs w:val="24"/>
        </w:rPr>
      </w:pPr>
      <w:r>
        <w:rPr>
          <w:sz w:val="24"/>
          <w:szCs w:val="24"/>
        </w:rPr>
        <w:t>Not breach any legislation.  For example, the Equality Act 2010 and the Data Protection Act 2018</w:t>
      </w:r>
    </w:p>
    <w:p>
      <w:pPr>
        <w:numPr>
          <w:ilvl w:val="0"/>
          <w:numId w:val="2"/>
        </w:numPr>
        <w:ind w:left="360" w:hanging="360"/>
        <w:rPr>
          <w:sz w:val="24"/>
          <w:szCs w:val="24"/>
        </w:rPr>
      </w:pPr>
      <w:r>
        <w:rPr>
          <w:sz w:val="24"/>
          <w:szCs w:val="24"/>
        </w:rPr>
        <w:t>Not damage the charity’s reputation</w:t>
      </w:r>
    </w:p>
    <w:p>
      <w:pPr>
        <w:rPr>
          <w:sz w:val="24"/>
          <w:szCs w:val="24"/>
        </w:rPr>
      </w:pPr>
      <w:r>
        <w:rPr>
          <w:sz w:val="24"/>
          <w:szCs w:val="24"/>
        </w:rPr>
      </w:r>
    </w:p>
    <w:p>
      <w:pPr>
        <w:rPr>
          <w:b/>
          <w:bCs/>
          <w:sz w:val="24"/>
          <w:szCs w:val="24"/>
        </w:rPr>
      </w:pPr>
      <w:r>
        <w:rPr>
          <w:b/>
          <w:bCs/>
          <w:sz w:val="24"/>
          <w:szCs w:val="24"/>
        </w:rPr>
        <w:t xml:space="preserve">The policy will be reviewed at least every four years or earlier should legislation or practice require. </w:t>
      </w:r>
    </w:p>
    <w:p>
      <w:pPr>
        <w:rPr>
          <w:b/>
          <w:bCs/>
          <w:sz w:val="24"/>
          <w:szCs w:val="24"/>
        </w:rPr>
      </w:pPr>
      <w:r>
        <w:rPr>
          <w:b/>
          <w:bCs/>
          <w:sz w:val="24"/>
          <w:szCs w:val="24"/>
        </w:rPr>
      </w:r>
    </w:p>
    <w:p>
      <w:pPr>
        <w:rPr>
          <w:b/>
          <w:bCs/>
          <w:sz w:val="24"/>
          <w:szCs w:val="24"/>
        </w:rPr>
      </w:pPr>
      <w:r>
        <w:rPr>
          <w:b/>
          <w:bCs/>
          <w:sz w:val="24"/>
          <w:szCs w:val="24"/>
        </w:rPr>
        <w:t>Approved by trustees on 26 February 2026</w:t>
      </w:r>
    </w:p>
    <w:sectPr>
      <w:footnotePr>
        <w:pos w:val="pageBottom"/>
        <w:numFmt w:val="decimal"/>
        <w:numStart w:val="1"/>
        <w:numRestart w:val="continuous"/>
      </w:footnotePr>
      <w:endnotePr>
        <w:pos w:val="docEnd"/>
        <w:numFmt w:val="lowerRoman"/>
        <w:numStart w:val="1"/>
        <w:numRestart w:val="continuous"/>
      </w:endnotePr>
      <w:type w:val="continuous"/>
      <w:pgSz w:h="16839" w:w="11907"/>
      <w:pgMar w:left="1134" w:top="1134" w:right="1134" w:bottom="1134"/>
      <w:paperSrc w:first="0" w:other="0" a="0" b="0"/>
      <w:pgNumType w:fmt="decimal"/>
      <w:tmGutter w:val="1"/>
      <w:mirrorMargins w:val="0"/>
      <w:tmSection w:h="-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charset w:val="00"/>
    <w:family w:val="roman"/>
    <w:pitch w:val="default"/>
  </w:font>
  <w:font w:name="SimSun">
    <w:charset w:val="00"/>
    <w:family w:val="auto"/>
    <w:pitch w:val="default"/>
  </w:font>
  <w:font w:name="Arial">
    <w:charset w:val="00"/>
    <w:family w:val="swiss"/>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singleLevel"/>
    <w:name w:val="Bullet 1"/>
    <w:lvl w:ilvl="0">
      <w:start w:val="1"/>
      <w:numFmt w:val="decimal"/>
      <w:lvlText w:val="%1."/>
      <w:lvlJc w:val="left"/>
      <w:pPr>
        <w:tabs>
          <w:tab w:val="num" w:pos="360"/>
        </w:tabs>
        <w:ind w:left="360" w:hanging="360"/>
      </w:pPr>
    </w:lvl>
  </w:abstractNum>
  <w:abstractNum w:abstractNumId="2">
    <w:multiLevelType w:val="singleLevel"/>
    <w:name w:val="Bullet 2"/>
    <w:lvl w:ilvl="0">
      <w:numFmt w:val="bullet"/>
      <w:lvlText w:val=""/>
      <w:lvlJc w:val="left"/>
      <w:pPr>
        <w:tabs>
          <w:tab w:val="num" w:pos="360"/>
        </w:tabs>
        <w:ind w:left="360" w:hanging="360"/>
      </w:pPr>
      <w:rPr>
        <w:rFonts w:ascii="Wingdings" w:hAnsi="Wingdings" w:eastAsia="Wingdings" w:cs="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08"/>
  <w:autoHyphenation w:val="1"/>
  <w:doNotShadeFormData w:val="1"/>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suppressSpBfAfterPgBrk w:val="1"/>
    <w:compatSetting w:name="compatibilityMode" w:uri="http://schemas.microsoft.com/office/word" w:val="15"/>
  </w:compat>
  <w:shapeDefaults>
    <o:shapedefaults v:ext="edit" spidmax="1026"/>
    <o:shapelayout v:ext="edit">
      <o:rules v:ext="edit"/>
    </o:shapelayout>
  </w:shapeDefaults>
  <w:tmPrefOne w:val="16"/>
  <w:tmPrefTwo w:val="1"/>
  <w:tmFmtPref w:val="55090283"/>
  <w:tmCommentsPr>
    <w:tmCommentsPlace w:val="0"/>
    <w:tmCommentsWidth w:val="3119"/>
    <w:tmCommentsColor w:val="-1"/>
  </w:tmCommentsPr>
  <w:tmReviewPr>
    <w:tmReviewEnabled w:val="0"/>
    <w:tmReviewShow w:val="1"/>
    <w:tmReviewPrint w:val="0"/>
    <w:tmRevisionNum w:val="1"/>
    <w:tmReviewMarkIns w:val="4"/>
    <w:tmReviewColorIns w:val="-1"/>
    <w:tmReviewMarkDel w:val="6"/>
    <w:tmReviewColorDel w:val="-1"/>
    <w:tmReviewMarkFmt w:val="1"/>
    <w:tmReviewColorFmt w:val="-1"/>
    <w:tmReviewMarkLn w:val="1"/>
    <w:tmReviewColorLn w:val="0"/>
    <w:tmReviewToolTip w:val="1"/>
  </w:tmReviewPr>
  <w:tmLastPos>
    <w:tmLastPosPage w:val="0"/>
    <w:tmLastPosSelect w:val="1"/>
    <w:tmLastPosFrameIdx w:val="0"/>
    <w:tmLastPosCaret>
      <w:tmLastPosPgfIdx w:val="25"/>
      <w:tmLastPosIdx w:val="58"/>
    </w:tmLastPosCaret>
    <w:tmLastPosAnchor>
      <w:tmLastPosPgfIdx w:val="25"/>
      <w:tmLastPosIdx w:val="42"/>
    </w:tmLastPosAnchor>
    <w:tmLastPosTblRect w:left="0" w:top="0" w:right="0" w:bottom="0"/>
  </w:tmLastPos>
  <w:tmAppRevision w:date="1769186591" w:val="1224" w:fileVer="342" w:fileVer64="64" w:fileVerOS="1"/>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SimSun" w:cs="Times New Roman"/>
        <w:kern w:val="1"/>
        <w:sz w:val="20"/>
        <w:szCs w:val="20"/>
        <w:lang w:val="en-gb" w:eastAsia="zh-cn"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key w:val="3120"/>
  </w:style>
  <w:style w:type="paragraph" w:styleId="para1">
    <w:name w:val="heading 1"/>
    <w:qFormat/>
    <w:basedOn w:val="para0"/>
    <w:next w:val="para0"/>
    <w:pPr>
      <w:spacing w:before="240" w:after="60"/>
      <w:keepNext/>
      <w:outlineLvl w:val="0"/>
      <w:keepLines/>
    </w:pPr>
    <w:rPr>
      <w:rFonts w:ascii="Arial" w:hAnsi="Arial" w:cs="Arial"/>
      <w:b/>
      <w:bCs/>
      <w:sz w:val="36"/>
      <w:szCs w:val="36"/>
    </w:rPr>
    <w:key w:val="3121"/>
  </w:style>
  <w:style w:type="paragraph" w:styleId="para2">
    <w:name w:val="heading 2"/>
    <w:qFormat/>
    <w:basedOn w:val="para1"/>
    <w:next w:val="para0"/>
    <w:pPr>
      <w:outlineLvl w:val="1"/>
    </w:pPr>
    <w:rPr>
      <w:sz w:val="32"/>
      <w:szCs w:val="32"/>
    </w:rPr>
    <w:key w:val="3122"/>
  </w:style>
  <w:style w:type="paragraph" w:styleId="para3">
    <w:name w:val="heading 3"/>
    <w:qFormat/>
    <w:basedOn w:val="para2"/>
    <w:next w:val="para0"/>
    <w:pPr>
      <w:outlineLvl w:val="2"/>
    </w:pPr>
    <w:rPr>
      <w:sz w:val="28"/>
      <w:szCs w:val="28"/>
    </w:rPr>
    <w:key w:val="3123"/>
  </w:style>
  <w:style w:type="character" w:styleId="char0" w:default="1">
    <w:name w:val="Default Paragraph Font"/>
  </w:style>
  <w:style w:type="character" w:styleId="char1">
    <w:name w:val="Hyperlink"/>
    <w:rPr>
      <w:color w:val="0000ff"/>
      <w:u w:color="auto" w:val="single"/>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SimSun" w:cs="Times New Roman"/>
        <w:kern w:val="1"/>
        <w:sz w:val="20"/>
        <w:szCs w:val="20"/>
        <w:lang w:val="en-gb" w:eastAsia="zh-cn"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key w:val="3120"/>
  </w:style>
  <w:style w:type="paragraph" w:styleId="para1">
    <w:name w:val="heading 1"/>
    <w:qFormat/>
    <w:basedOn w:val="para0"/>
    <w:next w:val="para0"/>
    <w:pPr>
      <w:spacing w:before="240" w:after="60"/>
      <w:keepNext/>
      <w:outlineLvl w:val="0"/>
      <w:keepLines/>
    </w:pPr>
    <w:rPr>
      <w:rFonts w:ascii="Arial" w:hAnsi="Arial" w:cs="Arial"/>
      <w:b/>
      <w:bCs/>
      <w:sz w:val="36"/>
      <w:szCs w:val="36"/>
    </w:rPr>
    <w:key w:val="3121"/>
  </w:style>
  <w:style w:type="paragraph" w:styleId="para2">
    <w:name w:val="heading 2"/>
    <w:qFormat/>
    <w:basedOn w:val="para1"/>
    <w:next w:val="para0"/>
    <w:pPr>
      <w:outlineLvl w:val="1"/>
    </w:pPr>
    <w:rPr>
      <w:sz w:val="32"/>
      <w:szCs w:val="32"/>
    </w:rPr>
    <w:key w:val="3122"/>
  </w:style>
  <w:style w:type="paragraph" w:styleId="para3">
    <w:name w:val="heading 3"/>
    <w:qFormat/>
    <w:basedOn w:val="para2"/>
    <w:next w:val="para0"/>
    <w:pPr>
      <w:outlineLvl w:val="2"/>
    </w:pPr>
    <w:rPr>
      <w:sz w:val="28"/>
      <w:szCs w:val="28"/>
    </w:rPr>
    <w:key w:val="3123"/>
  </w:style>
  <w:style w:type="character" w:styleId="char0" w:default="1">
    <w:name w:val="Default Paragraph Font"/>
  </w:style>
  <w:style w:type="character" w:styleId="char1">
    <w:name w:val="Hyperlink"/>
    <w:rPr>
      <w:color w:val="0000ff"/>
      <w:u w:color="auto" w:val="single"/>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image" Target="media/image1.png"/><Relationship Id="rId9" Type="http://schemas.openxmlformats.org/officeDocument/2006/relationships/hyperlink" Target="mailto:hello@ocaoakley.org.uk" TargetMode="Externa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SimSun"/>
        <a:cs typeface="Arial"/>
      </a:majorFont>
      <a:minorFont>
        <a:latin typeface="Times New Roman"/>
        <a:ea typeface="SimSu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rev.1224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2026-01-23T15:23:53Z</dcterms:created>
  <dcterms:modified xsi:type="dcterms:W3CDTF">2026-01-23T15:43:11Z</dcterms:modified>
</cp:coreProperties>
</file>